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tabs>
          <w:tab w:val="left" w:pos="7200"/>
          <w:tab w:val="left" w:pos="7560"/>
        </w:tabs>
        <w:spacing w:line="560" w:lineRule="exact"/>
        <w:jc w:val="left"/>
        <w:rPr>
          <w:rFonts w:hint="eastAsia" w:ascii="黑体" w:hAnsi="宋体" w:eastAsia="黑体" w:cs="宋体"/>
          <w:kern w:val="0"/>
          <w:sz w:val="32"/>
          <w:szCs w:val="32"/>
        </w:rPr>
      </w:pPr>
    </w:p>
    <w:p>
      <w:pPr>
        <w:widowControl/>
        <w:shd w:val="clear" w:color="auto" w:fill="FFFFFF"/>
        <w:tabs>
          <w:tab w:val="left" w:pos="7200"/>
          <w:tab w:val="left" w:pos="7560"/>
        </w:tabs>
        <w:spacing w:line="560" w:lineRule="exact"/>
        <w:jc w:val="left"/>
        <w:rPr>
          <w:rFonts w:hint="eastAsia" w:ascii="黑体" w:hAnsi="宋体" w:eastAsia="黑体" w:cs="宋体"/>
          <w:kern w:val="0"/>
          <w:sz w:val="32"/>
          <w:szCs w:val="32"/>
        </w:rPr>
      </w:pPr>
      <w:r>
        <w:rPr>
          <w:rFonts w:hint="eastAsia" w:ascii="黑体" w:hAnsi="宋体" w:eastAsia="黑体" w:cs="宋体"/>
          <w:kern w:val="0"/>
          <w:sz w:val="32"/>
          <w:szCs w:val="32"/>
        </w:rPr>
        <w:t>附件1</w:t>
      </w:r>
    </w:p>
    <w:p>
      <w:pPr>
        <w:widowControl/>
        <w:shd w:val="clear" w:color="auto" w:fill="FFFFFF"/>
        <w:tabs>
          <w:tab w:val="left" w:pos="7200"/>
          <w:tab w:val="left" w:pos="7560"/>
        </w:tabs>
        <w:spacing w:line="560" w:lineRule="exact"/>
        <w:jc w:val="left"/>
        <w:rPr>
          <w:rFonts w:hint="eastAsia" w:ascii="仿宋_GB2312" w:hAnsi="宋体" w:eastAsia="仿宋_GB2312" w:cs="宋体"/>
          <w:kern w:val="0"/>
          <w:szCs w:val="32"/>
        </w:rPr>
      </w:pPr>
    </w:p>
    <w:p>
      <w:pPr>
        <w:widowControl/>
        <w:jc w:val="center"/>
        <w:rPr>
          <w:rFonts w:hint="eastAsia" w:ascii="方正小标宋简体" w:hAnsi="华文中宋" w:eastAsia="方正小标宋简体"/>
          <w:kern w:val="0"/>
          <w:sz w:val="44"/>
          <w:szCs w:val="44"/>
        </w:rPr>
      </w:pPr>
      <w:r>
        <w:rPr>
          <w:rFonts w:hint="eastAsia" w:ascii="方正小标宋简体" w:hAnsi="宋体" w:eastAsia="方正小标宋简体" w:cs="宋体"/>
          <w:kern w:val="0"/>
          <w:sz w:val="44"/>
          <w:szCs w:val="44"/>
          <w:lang w:eastAsia="zh-CN"/>
        </w:rPr>
        <w:t>浮山县</w:t>
      </w:r>
      <w:r>
        <w:rPr>
          <w:rFonts w:hint="eastAsia" w:ascii="方正小标宋简体" w:hAnsi="华文中宋" w:eastAsia="方正小标宋简体"/>
          <w:kern w:val="0"/>
          <w:sz w:val="44"/>
          <w:szCs w:val="44"/>
          <w:lang w:val="en-US" w:eastAsia="zh-CN"/>
        </w:rPr>
        <w:t>政协委员会</w:t>
      </w:r>
      <w:r>
        <w:rPr>
          <w:rFonts w:hint="eastAsia" w:ascii="方正小标宋简体" w:hAnsi="华文中宋" w:eastAsia="方正小标宋简体"/>
          <w:kern w:val="0"/>
          <w:sz w:val="44"/>
          <w:szCs w:val="44"/>
        </w:rPr>
        <w:t>2018年度部</w:t>
      </w:r>
      <w:r>
        <w:rPr>
          <w:rFonts w:hint="eastAsia" w:ascii="方正小标宋简体" w:hAnsi="宋体" w:eastAsia="方正小标宋简体" w:cs="宋体"/>
          <w:kern w:val="0"/>
          <w:sz w:val="44"/>
          <w:szCs w:val="44"/>
        </w:rPr>
        <w:t>门预</w:t>
      </w:r>
      <w:r>
        <w:rPr>
          <w:rFonts w:hint="eastAsia" w:ascii="方正小标宋简体" w:hAnsi="Dotum" w:eastAsia="方正小标宋简体" w:cs="Dotum"/>
          <w:kern w:val="0"/>
          <w:sz w:val="44"/>
          <w:szCs w:val="44"/>
        </w:rPr>
        <w:t>算</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第一部分  概况</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一、本部门职责</w:t>
      </w:r>
    </w:p>
    <w:p>
      <w:pPr>
        <w:widowControl/>
        <w:spacing w:line="560" w:lineRule="exact"/>
        <w:ind w:firstLine="640"/>
        <w:rPr>
          <w:rFonts w:hint="eastAsia" w:ascii="新宋体" w:hAnsi="新宋体" w:eastAsia="新宋体" w:cs="新宋体"/>
          <w:kern w:val="0"/>
          <w:sz w:val="28"/>
          <w:szCs w:val="28"/>
        </w:rPr>
      </w:pPr>
      <w:r>
        <w:rPr>
          <w:rFonts w:hint="eastAsia" w:ascii="新宋体" w:hAnsi="新宋体" w:eastAsia="新宋体" w:cs="新宋体"/>
          <w:kern w:val="0"/>
          <w:sz w:val="28"/>
          <w:szCs w:val="28"/>
          <w:lang w:eastAsia="zh-CN"/>
        </w:rPr>
        <w:t>为政协领导及委员搞好服务工作，负责政协各种会议的会务工作。负责县政协委员提案的征集、归类、落实工作。</w:t>
      </w:r>
    </w:p>
    <w:p>
      <w:pPr>
        <w:widowControl/>
        <w:spacing w:line="560" w:lineRule="exact"/>
        <w:ind w:firstLine="640"/>
        <w:rPr>
          <w:rFonts w:hint="eastAsia" w:ascii="新宋体" w:hAnsi="新宋体" w:eastAsia="新宋体" w:cs="新宋体"/>
          <w:kern w:val="0"/>
          <w:sz w:val="28"/>
          <w:szCs w:val="28"/>
        </w:rPr>
      </w:pPr>
      <w:r>
        <w:rPr>
          <w:rFonts w:hint="eastAsia" w:ascii="新宋体" w:hAnsi="新宋体" w:eastAsia="新宋体" w:cs="新宋体"/>
          <w:kern w:val="0"/>
          <w:sz w:val="28"/>
          <w:szCs w:val="28"/>
        </w:rPr>
        <w:t>二、机构设置情况</w:t>
      </w:r>
    </w:p>
    <w:p>
      <w:pPr>
        <w:widowControl/>
        <w:tabs>
          <w:tab w:val="left" w:pos="796"/>
          <w:tab w:val="center" w:pos="4482"/>
        </w:tabs>
        <w:spacing w:line="560" w:lineRule="exact"/>
        <w:jc w:val="left"/>
        <w:rPr>
          <w:rFonts w:hint="eastAsia" w:ascii="新宋体" w:hAnsi="新宋体" w:eastAsia="新宋体" w:cs="新宋体"/>
          <w:b w:val="0"/>
          <w:bCs w:val="0"/>
          <w:kern w:val="0"/>
          <w:sz w:val="28"/>
          <w:szCs w:val="28"/>
          <w:lang w:eastAsia="zh-CN"/>
        </w:rPr>
      </w:pPr>
      <w:r>
        <w:rPr>
          <w:rFonts w:hint="eastAsia" w:ascii="新宋体" w:hAnsi="新宋体" w:eastAsia="新宋体" w:cs="新宋体"/>
          <w:kern w:val="0"/>
          <w:sz w:val="28"/>
          <w:szCs w:val="28"/>
          <w:lang w:eastAsia="zh-CN"/>
        </w:rPr>
        <w:tab/>
      </w:r>
      <w:r>
        <w:rPr>
          <w:rFonts w:hint="eastAsia" w:ascii="新宋体" w:hAnsi="新宋体" w:eastAsia="新宋体" w:cs="新宋体"/>
          <w:b w:val="0"/>
          <w:bCs w:val="0"/>
          <w:kern w:val="0"/>
          <w:sz w:val="28"/>
          <w:szCs w:val="28"/>
          <w:lang w:eastAsia="zh-CN"/>
        </w:rPr>
        <w:t>县政协为政府主席编制单列。行政编制</w:t>
      </w:r>
      <w:r>
        <w:rPr>
          <w:rFonts w:hint="eastAsia" w:ascii="新宋体" w:hAnsi="新宋体" w:eastAsia="新宋体" w:cs="新宋体"/>
          <w:b w:val="0"/>
          <w:bCs w:val="0"/>
          <w:kern w:val="0"/>
          <w:sz w:val="28"/>
          <w:szCs w:val="28"/>
          <w:lang w:val="en-US" w:eastAsia="zh-CN"/>
        </w:rPr>
        <w:t>9名其中秘书长一名，办公室主任一名，副主任两名，各工作委员会设主任一名。工勤人员两名。下设办公室、提案工作委员会、经济贸易工作委员会、农村工作委员会、社会法制暨民族宗教工作委员会、学习宣传文教文史工作委员会。。</w:t>
      </w:r>
    </w:p>
    <w:p>
      <w:pPr>
        <w:widowControl/>
        <w:tabs>
          <w:tab w:val="left" w:pos="796"/>
          <w:tab w:val="center" w:pos="4482"/>
        </w:tabs>
        <w:spacing w:line="560" w:lineRule="exact"/>
        <w:jc w:val="left"/>
        <w:rPr>
          <w:rFonts w:hint="eastAsia" w:ascii="黑体" w:hAnsi="Times New Roman" w:eastAsia="黑体"/>
          <w:kern w:val="0"/>
          <w:sz w:val="32"/>
          <w:szCs w:val="32"/>
        </w:rPr>
      </w:pPr>
      <w:r>
        <w:rPr>
          <w:rFonts w:hint="eastAsia" w:ascii="黑体" w:hAnsi="Times New Roman" w:eastAsia="黑体"/>
          <w:kern w:val="0"/>
          <w:sz w:val="32"/>
          <w:szCs w:val="32"/>
          <w:lang w:eastAsia="zh-CN"/>
        </w:rPr>
        <w:tab/>
      </w:r>
      <w:r>
        <w:rPr>
          <w:rFonts w:hint="eastAsia" w:ascii="黑体" w:hAnsi="Times New Roman" w:eastAsia="黑体"/>
          <w:kern w:val="0"/>
          <w:sz w:val="32"/>
          <w:szCs w:val="32"/>
        </w:rPr>
        <w:t>第二部分  2018年度部门预算报表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一、2018年预算收支总表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二、2018年预算收入总表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三、2018年预算支出总表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四、2018年财政拨款收支总表</w:t>
      </w:r>
    </w:p>
    <w:p>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五、2018年一般公共预算支出预算表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六、2018年一般公共预算安排基本支出分经济科目表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七、2018年政府性基金预算收入预算表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八、2018年政府性基金预算支出预算表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九、2018年“三公”经费预算财政拨款情况统计表</w:t>
      </w:r>
    </w:p>
    <w:p>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十、2018年机关运行经费预算财政拨款情况统计表</w:t>
      </w:r>
    </w:p>
    <w:p>
      <w:pPr>
        <w:widowControl/>
        <w:spacing w:line="560" w:lineRule="exact"/>
        <w:ind w:firstLine="640" w:firstLineChars="200"/>
        <w:rPr>
          <w:rFonts w:hint="eastAsia" w:ascii="黑体" w:hAnsi="Times New Roman" w:eastAsia="黑体"/>
          <w:kern w:val="0"/>
          <w:sz w:val="32"/>
          <w:szCs w:val="32"/>
        </w:rPr>
      </w:pPr>
      <w:r>
        <w:rPr>
          <w:rFonts w:hint="eastAsia" w:ascii="仿宋_GB2312" w:hAnsi="楷体" w:eastAsia="仿宋_GB2312"/>
          <w:kern w:val="0"/>
          <w:sz w:val="32"/>
          <w:szCs w:val="32"/>
        </w:rPr>
        <w:t>十一、2018年</w:t>
      </w:r>
      <w:r>
        <w:rPr>
          <w:rFonts w:hint="eastAsia" w:ascii="仿宋_GB2312" w:hAnsi="楷体" w:eastAsia="仿宋_GB2312"/>
          <w:kern w:val="0"/>
          <w:sz w:val="32"/>
          <w:szCs w:val="32"/>
          <w:lang w:eastAsia="zh-CN"/>
        </w:rPr>
        <w:t>县</w:t>
      </w:r>
      <w:r>
        <w:rPr>
          <w:rFonts w:hint="eastAsia" w:ascii="仿宋_GB2312" w:hAnsi="楷体" w:eastAsia="仿宋_GB2312"/>
          <w:kern w:val="0"/>
          <w:sz w:val="32"/>
          <w:szCs w:val="32"/>
        </w:rPr>
        <w:t>级财政项目支出绩效目标表</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第三部分  2018年度部门预算情况说明</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一、2018年度部门预算数据变动情况及原因</w:t>
      </w:r>
    </w:p>
    <w:p>
      <w:pPr>
        <w:keepNext w:val="0"/>
        <w:keepLines w:val="0"/>
        <w:pageBreakBefore w:val="0"/>
        <w:kinsoku/>
        <w:wordWrap/>
        <w:overflowPunct/>
        <w:topLinePunct w:val="0"/>
        <w:autoSpaceDE/>
        <w:autoSpaceDN/>
        <w:bidi w:val="0"/>
        <w:adjustRightInd/>
        <w:spacing w:beforeAutospacing="0" w:afterAutospacing="0" w:line="580" w:lineRule="exact"/>
        <w:ind w:right="0" w:rightChars="0" w:firstLine="636"/>
        <w:textAlignment w:val="auto"/>
        <w:outlineLvl w:val="9"/>
        <w:rPr>
          <w:rFonts w:hint="eastAsia" w:ascii="仿宋_GB2312" w:hAnsi="楷体" w:eastAsia="仿宋_GB2312"/>
          <w:kern w:val="0"/>
          <w:sz w:val="32"/>
          <w:szCs w:val="32"/>
        </w:rPr>
      </w:pPr>
      <w:r>
        <w:rPr>
          <w:rFonts w:hint="eastAsia" w:ascii="仿宋" w:hAnsi="仿宋" w:eastAsia="仿宋"/>
          <w:sz w:val="32"/>
          <w:szCs w:val="32"/>
          <w:lang w:val="en-US" w:eastAsia="zh-CN"/>
        </w:rPr>
        <w:t>浮山县政协办公室2018年部门预算283.71万元，比2017年预算增加16.31万元。其中：工资福利支出比2017年增加了71.32万元，增加原因为2018年代扣了养老保险和职业年金。商品和服务支出比2017年增加了23.6万元，增加原因为2018年商品和服务支出里面包括了工会经费、职工福利费和其他交通费。对个人和家庭补助支出比2017年减少了90.6万元，减少原因为2018年预算中不包括退休人工资，退休人员工资移交社保机构发放。2018年项目增加了12万元，2017年无项目预算。</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二、“三公”经费增减变动原因说明</w:t>
      </w:r>
    </w:p>
    <w:p>
      <w:pPr>
        <w:widowControl/>
        <w:spacing w:line="560" w:lineRule="exact"/>
        <w:ind w:firstLine="636"/>
        <w:rPr>
          <w:rFonts w:hint="eastAsia" w:ascii="仿宋" w:hAnsi="仿宋" w:eastAsia="仿宋" w:cs="仿宋"/>
          <w:sz w:val="32"/>
          <w:szCs w:val="32"/>
        </w:rPr>
      </w:pPr>
      <w:r>
        <w:rPr>
          <w:rFonts w:hint="eastAsia" w:ascii="仿宋" w:hAnsi="仿宋" w:eastAsia="仿宋" w:cs="仿宋"/>
          <w:sz w:val="32"/>
          <w:szCs w:val="32"/>
          <w:lang w:val="en-US" w:eastAsia="zh-CN"/>
        </w:rPr>
        <w:t>浮山县政协办公室2017、2018年均</w:t>
      </w:r>
      <w:r>
        <w:rPr>
          <w:rFonts w:hint="eastAsia" w:ascii="仿宋" w:hAnsi="仿宋" w:eastAsia="仿宋" w:cs="仿宋"/>
          <w:sz w:val="32"/>
          <w:szCs w:val="32"/>
        </w:rPr>
        <w:t>无“三公”经费</w:t>
      </w:r>
      <w:r>
        <w:rPr>
          <w:rFonts w:hint="eastAsia" w:ascii="仿宋" w:hAnsi="仿宋" w:eastAsia="仿宋" w:cs="仿宋"/>
          <w:sz w:val="32"/>
          <w:szCs w:val="32"/>
          <w:lang w:eastAsia="zh-CN"/>
        </w:rPr>
        <w:t>预算。</w:t>
      </w:r>
    </w:p>
    <w:p>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三、机关运行经费增减变动原因说明</w:t>
      </w:r>
    </w:p>
    <w:p>
      <w:pPr>
        <w:widowControl/>
        <w:spacing w:line="560" w:lineRule="exact"/>
        <w:ind w:firstLine="636"/>
        <w:rPr>
          <w:rFonts w:hint="eastAsia" w:ascii="仿宋" w:hAnsi="仿宋" w:eastAsia="仿宋"/>
          <w:sz w:val="32"/>
          <w:szCs w:val="32"/>
          <w:lang w:val="en-US" w:eastAsia="zh-CN"/>
        </w:rPr>
      </w:pPr>
      <w:r>
        <w:rPr>
          <w:rFonts w:hint="eastAsia" w:ascii="仿宋_GB2312" w:hAnsi="仿宋" w:eastAsia="仿宋_GB2312"/>
          <w:kern w:val="0"/>
          <w:sz w:val="32"/>
          <w:szCs w:val="32"/>
          <w:lang w:eastAsia="zh-CN"/>
        </w:rPr>
        <w:t>我机关</w:t>
      </w:r>
      <w:r>
        <w:rPr>
          <w:rFonts w:hint="eastAsia" w:ascii="仿宋_GB2312" w:hAnsi="仿宋" w:eastAsia="仿宋_GB2312"/>
          <w:kern w:val="0"/>
          <w:sz w:val="32"/>
          <w:szCs w:val="32"/>
        </w:rPr>
        <w:t>2018年机关运行经费财政拨款预算</w:t>
      </w:r>
      <w:r>
        <w:rPr>
          <w:rFonts w:hint="eastAsia" w:ascii="仿宋_GB2312" w:hAnsi="仿宋" w:eastAsia="仿宋_GB2312"/>
          <w:kern w:val="0"/>
          <w:sz w:val="32"/>
          <w:szCs w:val="32"/>
          <w:lang w:val="en-US" w:eastAsia="zh-CN"/>
        </w:rPr>
        <w:t>59.98</w:t>
      </w:r>
      <w:r>
        <w:rPr>
          <w:rFonts w:hint="eastAsia" w:ascii="仿宋_GB2312" w:hAnsi="仿宋" w:eastAsia="仿宋_GB2312"/>
          <w:kern w:val="0"/>
          <w:sz w:val="32"/>
          <w:szCs w:val="32"/>
        </w:rPr>
        <w:t>万元</w:t>
      </w:r>
      <w:r>
        <w:rPr>
          <w:rFonts w:hint="eastAsia" w:ascii="仿宋" w:hAnsi="仿宋" w:eastAsia="仿宋"/>
          <w:sz w:val="32"/>
          <w:szCs w:val="32"/>
          <w:lang w:val="en-US" w:eastAsia="zh-CN"/>
        </w:rPr>
        <w:t>比2017年增加了23.6万元，增加原因为2018年商品和服务支出里面包括了工会经费、职工福利费和其他交通费。</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四、政府采购情况</w:t>
      </w:r>
    </w:p>
    <w:p>
      <w:pPr>
        <w:widowControl/>
        <w:spacing w:line="560" w:lineRule="exact"/>
        <w:ind w:firstLine="636"/>
        <w:rPr>
          <w:rFonts w:hint="eastAsia" w:ascii="仿宋_GB2312" w:hAnsi="仿宋" w:eastAsia="仿宋_GB2312"/>
          <w:kern w:val="0"/>
          <w:sz w:val="32"/>
          <w:szCs w:val="32"/>
        </w:rPr>
      </w:pPr>
      <w:r>
        <w:rPr>
          <w:rFonts w:hint="eastAsia" w:ascii="仿宋" w:hAnsi="仿宋" w:eastAsia="仿宋" w:cs="仿宋"/>
          <w:sz w:val="32"/>
          <w:szCs w:val="32"/>
        </w:rPr>
        <w:t>本</w:t>
      </w:r>
      <w:r>
        <w:rPr>
          <w:rFonts w:hint="eastAsia" w:ascii="仿宋" w:hAnsi="仿宋" w:eastAsia="仿宋" w:cs="仿宋"/>
          <w:sz w:val="32"/>
          <w:szCs w:val="32"/>
          <w:lang w:eastAsia="zh-CN"/>
        </w:rPr>
        <w:t>单位</w:t>
      </w:r>
      <w:r>
        <w:rPr>
          <w:rFonts w:hint="eastAsia" w:ascii="仿宋" w:hAnsi="仿宋" w:eastAsia="仿宋" w:cs="仿宋"/>
          <w:sz w:val="32"/>
          <w:szCs w:val="32"/>
        </w:rPr>
        <w:t>没有政府采购情况。</w:t>
      </w:r>
    </w:p>
    <w:p>
      <w:pPr>
        <w:widowControl/>
        <w:spacing w:line="560" w:lineRule="exact"/>
        <w:ind w:firstLine="636"/>
        <w:rPr>
          <w:rFonts w:hint="eastAsia" w:ascii="仿宋_GB2312" w:hAnsi="仿宋" w:eastAsia="仿宋_GB2312"/>
          <w:kern w:val="0"/>
          <w:sz w:val="32"/>
          <w:szCs w:val="32"/>
        </w:rPr>
      </w:pPr>
      <w:r>
        <w:rPr>
          <w:rFonts w:hint="eastAsia" w:ascii="仿宋_GB2312" w:hAnsi="楷体" w:eastAsia="仿宋_GB2312"/>
          <w:kern w:val="0"/>
          <w:sz w:val="32"/>
          <w:szCs w:val="32"/>
        </w:rPr>
        <w:t>五、</w:t>
      </w:r>
      <w:r>
        <w:rPr>
          <w:rFonts w:hint="eastAsia" w:ascii="仿宋_GB2312" w:hAnsi="仿宋" w:eastAsia="仿宋_GB2312"/>
          <w:kern w:val="0"/>
          <w:sz w:val="32"/>
          <w:szCs w:val="32"/>
        </w:rPr>
        <w:t>绩效管理情况</w:t>
      </w:r>
    </w:p>
    <w:p>
      <w:pPr>
        <w:widowControl/>
        <w:spacing w:line="560" w:lineRule="exact"/>
        <w:ind w:firstLine="636"/>
        <w:rPr>
          <w:rFonts w:hint="eastAsia" w:ascii="仿宋_GB2312" w:hAnsi="仿宋" w:eastAsia="仿宋_GB2312"/>
          <w:kern w:val="0"/>
          <w:sz w:val="32"/>
          <w:szCs w:val="32"/>
          <w:lang w:eastAsia="zh-CN"/>
        </w:rPr>
      </w:pPr>
      <w:r>
        <w:rPr>
          <w:rFonts w:hint="eastAsia" w:ascii="仿宋_GB2312" w:hAnsi="仿宋" w:eastAsia="仿宋_GB2312"/>
          <w:kern w:val="0"/>
          <w:sz w:val="32"/>
          <w:szCs w:val="32"/>
          <w:lang w:eastAsia="zh-CN"/>
        </w:rPr>
        <w:t>无</w:t>
      </w:r>
    </w:p>
    <w:p>
      <w:pPr>
        <w:widowControl/>
        <w:numPr>
          <w:ilvl w:val="0"/>
          <w:numId w:val="1"/>
        </w:numPr>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其他说明</w:t>
      </w:r>
    </w:p>
    <w:p>
      <w:pPr>
        <w:widowControl/>
        <w:numPr>
          <w:numId w:val="0"/>
        </w:numPr>
        <w:spacing w:line="560" w:lineRule="exact"/>
        <w:ind w:firstLine="640" w:firstLineChars="200"/>
        <w:rPr>
          <w:rFonts w:hint="eastAsia" w:ascii="仿宋_GB2312" w:hAnsi="仿宋" w:eastAsia="仿宋_GB2312"/>
          <w:kern w:val="0"/>
          <w:sz w:val="32"/>
          <w:szCs w:val="32"/>
        </w:rPr>
      </w:pPr>
      <w:bookmarkStart w:id="0" w:name="_GoBack"/>
      <w:bookmarkEnd w:id="0"/>
      <w:r>
        <w:rPr>
          <w:rFonts w:hint="eastAsia" w:ascii="仿宋_GB2312" w:hAnsi="仿宋" w:eastAsia="仿宋_GB2312"/>
          <w:kern w:val="0"/>
          <w:sz w:val="32"/>
          <w:szCs w:val="32"/>
        </w:rPr>
        <w:t>（</w:t>
      </w:r>
      <w:r>
        <w:rPr>
          <w:rFonts w:hint="eastAsia" w:ascii="仿宋_GB2312" w:hAnsi="仿宋" w:eastAsia="仿宋_GB2312"/>
          <w:kern w:val="0"/>
          <w:sz w:val="32"/>
          <w:szCs w:val="32"/>
          <w:lang w:eastAsia="zh-CN"/>
        </w:rPr>
        <w:t>一</w:t>
      </w:r>
      <w:r>
        <w:rPr>
          <w:rFonts w:hint="eastAsia" w:ascii="仿宋_GB2312" w:hAnsi="仿宋" w:eastAsia="仿宋_GB2312"/>
          <w:kern w:val="0"/>
          <w:sz w:val="32"/>
          <w:szCs w:val="32"/>
        </w:rPr>
        <w:t>）国有资产占有使用情况</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1.车辆情况；</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lang w:eastAsia="zh-CN"/>
        </w:rPr>
        <w:t>无</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2.房屋情况；</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lang w:eastAsia="zh-CN"/>
        </w:rPr>
        <w:t>无</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3.其他国有资产占有使用情况。</w:t>
      </w:r>
    </w:p>
    <w:p>
      <w:pPr>
        <w:widowControl/>
        <w:spacing w:line="560" w:lineRule="exact"/>
        <w:ind w:firstLine="636"/>
        <w:rPr>
          <w:rFonts w:hint="eastAsia" w:ascii="仿宋_GB2312" w:hAnsi="仿宋" w:eastAsia="仿宋_GB2312"/>
          <w:kern w:val="0"/>
          <w:sz w:val="32"/>
          <w:szCs w:val="32"/>
          <w:lang w:val="en-US" w:eastAsia="zh-CN"/>
        </w:rPr>
      </w:pPr>
      <w:r>
        <w:rPr>
          <w:rFonts w:hint="eastAsia" w:ascii="仿宋_GB2312" w:hAnsi="仿宋" w:eastAsia="仿宋_GB2312"/>
          <w:kern w:val="0"/>
          <w:sz w:val="32"/>
          <w:szCs w:val="32"/>
          <w:lang w:eastAsia="zh-CN"/>
        </w:rPr>
        <w:t>我单位其它资产</w:t>
      </w:r>
      <w:r>
        <w:rPr>
          <w:rFonts w:hint="eastAsia" w:ascii="仿宋_GB2312" w:hAnsi="仿宋" w:eastAsia="仿宋_GB2312"/>
          <w:kern w:val="0"/>
          <w:sz w:val="32"/>
          <w:szCs w:val="32"/>
          <w:lang w:val="en-US" w:eastAsia="zh-CN"/>
        </w:rPr>
        <w:t>86.3748</w:t>
      </w:r>
      <w:r>
        <w:rPr>
          <w:rFonts w:hint="eastAsia" w:ascii="仿宋_GB2312" w:hAnsi="仿宋" w:eastAsia="仿宋_GB2312"/>
          <w:kern w:val="0"/>
          <w:sz w:val="32"/>
          <w:szCs w:val="32"/>
          <w:lang w:eastAsia="zh-CN"/>
        </w:rPr>
        <w:t>万元，都正常使用</w:t>
      </w:r>
      <w:r>
        <w:rPr>
          <w:rFonts w:hint="eastAsia" w:ascii="仿宋_GB2312" w:hAnsi="仿宋" w:eastAsia="仿宋_GB2312"/>
          <w:kern w:val="0"/>
          <w:sz w:val="32"/>
          <w:szCs w:val="32"/>
          <w:lang w:val="en-US" w:eastAsia="zh-CN"/>
        </w:rPr>
        <w:t>.</w:t>
      </w:r>
    </w:p>
    <w:p>
      <w:pPr>
        <w:widowControl/>
        <w:spacing w:line="560" w:lineRule="exact"/>
        <w:rPr>
          <w:rFonts w:hint="eastAsia" w:ascii="仿宋_GB2312" w:hAnsi="仿宋" w:eastAsia="仿宋_GB2312"/>
          <w:kern w:val="0"/>
          <w:sz w:val="32"/>
          <w:szCs w:val="32"/>
          <w:lang w:val="en-US" w:eastAsia="zh-CN"/>
        </w:rPr>
      </w:pPr>
    </w:p>
    <w:p>
      <w:pPr>
        <w:widowControl/>
        <w:numPr>
          <w:ilvl w:val="0"/>
          <w:numId w:val="2"/>
        </w:numPr>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其他</w:t>
      </w:r>
    </w:p>
    <w:p>
      <w:pPr>
        <w:widowControl/>
        <w:numPr>
          <w:ilvl w:val="0"/>
          <w:numId w:val="0"/>
        </w:numPr>
        <w:spacing w:line="560" w:lineRule="exact"/>
        <w:ind w:firstLine="960" w:firstLineChars="300"/>
        <w:rPr>
          <w:rFonts w:hint="eastAsia" w:ascii="仿宋_GB2312" w:hAnsi="仿宋" w:eastAsia="仿宋_GB2312"/>
          <w:kern w:val="0"/>
          <w:sz w:val="32"/>
          <w:szCs w:val="32"/>
        </w:rPr>
      </w:pPr>
      <w:r>
        <w:rPr>
          <w:rFonts w:hint="eastAsia" w:ascii="仿宋_GB2312" w:hAnsi="仿宋" w:eastAsia="仿宋_GB2312"/>
          <w:kern w:val="0"/>
          <w:sz w:val="32"/>
          <w:szCs w:val="32"/>
          <w:lang w:eastAsia="zh-CN"/>
        </w:rPr>
        <w:t>无</w:t>
      </w:r>
      <w:r>
        <w:rPr>
          <w:rFonts w:hint="eastAsia" w:ascii="仿宋_GB2312" w:hAnsi="仿宋" w:eastAsia="仿宋_GB2312"/>
          <w:kern w:val="0"/>
          <w:sz w:val="32"/>
          <w:szCs w:val="32"/>
          <w:lang w:val="en-US" w:eastAsia="zh-CN"/>
        </w:rPr>
        <w:t xml:space="preserve"> </w:t>
      </w: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第四部分  名词解释</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（一）基本支出</w:t>
      </w:r>
      <w:r>
        <w:rPr>
          <w:rFonts w:hint="eastAsia" w:ascii="仿宋_GB2312" w:hAnsi="仿宋" w:eastAsia="仿宋_GB2312"/>
          <w:kern w:val="0"/>
          <w:sz w:val="32"/>
          <w:szCs w:val="32"/>
        </w:rPr>
        <w:t>：指为保障机构正常运转、完成日常</w:t>
      </w:r>
    </w:p>
    <w:p>
      <w:pPr>
        <w:widowControl/>
        <w:snapToGrid w:val="0"/>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工作任务而发生的人员支出和公用支出。</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（二）项目支出</w:t>
      </w:r>
      <w:r>
        <w:rPr>
          <w:rFonts w:hint="eastAsia" w:ascii="仿宋_GB2312" w:hAnsi="仿宋" w:eastAsia="仿宋_GB2312"/>
          <w:kern w:val="0"/>
          <w:sz w:val="32"/>
          <w:szCs w:val="32"/>
        </w:rPr>
        <w:t>：指在基本支出之外为完成特定行政任</w:t>
      </w:r>
    </w:p>
    <w:p>
      <w:pPr>
        <w:widowControl/>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务和事业发展目标所发生的支出。</w:t>
      </w:r>
    </w:p>
    <w:p>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（三）“三公”经费</w:t>
      </w:r>
      <w:r>
        <w:rPr>
          <w:rFonts w:hint="eastAsia" w:ascii="仿宋_GB2312" w:hAnsi="仿宋" w:eastAsia="仿宋_GB2312"/>
          <w:kern w:val="0"/>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widowControl/>
        <w:snapToGrid w:val="0"/>
        <w:spacing w:line="560" w:lineRule="exact"/>
        <w:ind w:firstLine="640"/>
        <w:rPr>
          <w:rFonts w:hint="eastAsia" w:ascii="黑体" w:hAnsi="宋体" w:eastAsia="仿宋_GB2312" w:cs="宋体"/>
          <w:kern w:val="0"/>
          <w:sz w:val="32"/>
          <w:szCs w:val="32"/>
          <w:lang w:val="en-US" w:eastAsia="zh-CN"/>
        </w:rPr>
        <w:sectPr>
          <w:headerReference r:id="rId3" w:type="default"/>
          <w:footerReference r:id="rId4" w:type="default"/>
          <w:footerReference r:id="rId5" w:type="even"/>
          <w:pgSz w:w="11906" w:h="16838"/>
          <w:pgMar w:top="2098" w:right="1474" w:bottom="1985" w:left="1474" w:header="851" w:footer="1588" w:gutter="113"/>
          <w:cols w:space="720" w:num="1"/>
          <w:docGrid w:linePitch="579" w:charSpace="-1839"/>
        </w:sectPr>
      </w:pPr>
      <w:r>
        <w:rPr>
          <w:rFonts w:hint="eastAsia" w:ascii="仿宋_GB2312" w:hAnsi="楷体" w:eastAsia="仿宋_GB2312"/>
          <w:kern w:val="0"/>
          <w:sz w:val="32"/>
          <w:szCs w:val="32"/>
        </w:rPr>
        <w:t>（四）机关运行经费</w:t>
      </w:r>
      <w:r>
        <w:rPr>
          <w:rFonts w:hint="eastAsia" w:ascii="仿宋_GB2312" w:hAnsi="仿宋" w:eastAsia="仿宋_GB2312"/>
          <w:kern w:val="0"/>
          <w:sz w:val="32"/>
          <w:szCs w:val="32"/>
        </w:rPr>
        <w:t>：指行政单位和参照公务员法管理的事业单位使用一般公共预算安排的基本支出中的日常公用经费支出</w:t>
      </w:r>
      <w:r>
        <w:rPr>
          <w:rFonts w:hint="eastAsia" w:ascii="仿宋_GB2312" w:hAnsi="仿宋" w:eastAsia="仿宋_GB2312"/>
          <w:kern w:val="0"/>
          <w:sz w:val="32"/>
          <w:szCs w:val="32"/>
          <w:lang w:eastAsia="zh-CN"/>
        </w:rPr>
        <w:t>。</w:t>
      </w:r>
    </w:p>
    <w:p/>
    <w:sectPr>
      <w:footerReference r:id="rId6"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Dotum">
    <w:panose1 w:val="020B0600000101010101"/>
    <w:charset w:val="81"/>
    <w:family w:val="swiss"/>
    <w:pitch w:val="default"/>
    <w:sig w:usb0="B00002AF" w:usb1="69D77CFB" w:usb2="00000030" w:usb3="00000000" w:csb0="4008009F" w:csb1="DFD7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904" w:h="376" w:hRule="exact" w:wrap="around" w:vAnchor="text" w:hAnchor="page" w:x="8518" w:y="11"/>
      <w:ind w:firstLine="560" w:firstLineChars="2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1</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690" w:h="790" w:hRule="exact" w:wrap="around" w:vAnchor="text" w:hAnchor="page" w:x="1588" w:y="-189"/>
      <w:ind w:firstLine="280" w:firstLineChars="1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2</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2000" w:h="790" w:hRule="exact" w:wrap="around" w:vAnchor="text" w:hAnchor="page" w:x="1370" w:y="-189"/>
      <w:ind w:firstLine="280" w:firstLineChars="1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18</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201B1F"/>
    <w:multiLevelType w:val="singleLevel"/>
    <w:tmpl w:val="82201B1F"/>
    <w:lvl w:ilvl="0" w:tentative="0">
      <w:start w:val="6"/>
      <w:numFmt w:val="chineseCounting"/>
      <w:suff w:val="nothing"/>
      <w:lvlText w:val="%1、"/>
      <w:lvlJc w:val="left"/>
      <w:rPr>
        <w:rFonts w:hint="eastAsia"/>
      </w:rPr>
    </w:lvl>
  </w:abstractNum>
  <w:abstractNum w:abstractNumId="1">
    <w:nsid w:val="5AFE8A6A"/>
    <w:multiLevelType w:val="singleLevel"/>
    <w:tmpl w:val="5AFE8A6A"/>
    <w:lvl w:ilvl="0" w:tentative="0">
      <w:start w:val="2"/>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0A19CE"/>
    <w:rsid w:val="23202629"/>
    <w:rsid w:val="45102156"/>
    <w:rsid w:val="569F0485"/>
    <w:rsid w:val="575D0BDC"/>
    <w:rsid w:val="65384D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link w:val="5"/>
    <w:semiHidden/>
    <w:uiPriority w:val="0"/>
    <w:rPr>
      <w:rFonts w:ascii="Times New Roman" w:hAnsi="Times New Roman"/>
      <w:szCs w:val="24"/>
    </w:rPr>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customStyle="1" w:styleId="5">
    <w:name w:val="Char Char Char Char Char Char Char"/>
    <w:basedOn w:val="1"/>
    <w:link w:val="4"/>
    <w:qFormat/>
    <w:uiPriority w:val="0"/>
    <w:rPr>
      <w:rFonts w:ascii="Times New Roman" w:hAnsi="Times New Roman"/>
      <w:szCs w:val="24"/>
    </w:rPr>
  </w:style>
  <w:style w:type="character" w:styleId="6">
    <w:name w:val="page number"/>
    <w:basedOn w:val="4"/>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2018-05-18T08:48:00Z</cp:lastPrinted>
  <dcterms:modified xsi:type="dcterms:W3CDTF">2018-05-24T07:56:20Z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